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DF312" w14:textId="77777777" w:rsidR="00DC0472" w:rsidRDefault="00000000">
      <w:pPr>
        <w:pStyle w:val="berschrift1"/>
        <w:spacing w:after="200"/>
      </w:pPr>
      <w:r>
        <w:rPr>
          <w:b/>
          <w:bCs/>
          <w:color w:val="1F1F1F"/>
          <w:sz w:val="36"/>
          <w:szCs w:val="36"/>
        </w:rPr>
        <w:t>Praxisprofile · Beispiel Gastroenterologie</w:t>
      </w:r>
    </w:p>
    <w:p w14:paraId="3592A6B9" w14:textId="77777777" w:rsidR="00DC0472" w:rsidRDefault="00000000">
      <w:pPr>
        <w:spacing w:after="300"/>
      </w:pPr>
      <w:r>
        <w:rPr>
          <w:i/>
          <w:iCs/>
          <w:color w:val="595959"/>
          <w:sz w:val="19"/>
          <w:szCs w:val="19"/>
        </w:rPr>
        <w:t>Fiktive Praxis, zwei Varianten. Stand: 09.09.2026 · Nächste Prüfung: Dezember 2026 (mit der Quartalsabrechnung)</w:t>
      </w:r>
    </w:p>
    <w:tbl>
      <w:tblPr>
        <w:tblW w:w="5000" w:type="pct"/>
        <w:tblBorders>
          <w:top w:val="none" w:sz="0" w:space="0" w:color="FFFFFF"/>
          <w:left w:val="single" w:sz="24" w:space="0" w:color="2E6B2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6"/>
      </w:tblGrid>
      <w:tr w:rsidR="00DC0472" w14:paraId="085F1D9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AF2E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612CEFD" w14:textId="77777777" w:rsidR="00DC0472" w:rsidRDefault="00000000">
            <w:pPr>
              <w:spacing w:after="60"/>
            </w:pPr>
            <w:r>
              <w:rPr>
                <w:b/>
                <w:bCs/>
                <w:color w:val="2E6B2F"/>
              </w:rPr>
              <w:t>Wozu dieses Dokument</w:t>
            </w:r>
          </w:p>
          <w:p w14:paraId="2A9B9A33" w14:textId="77777777" w:rsidR="00DC0472" w:rsidRDefault="00000000">
            <w:pPr>
              <w:spacing w:after="40"/>
            </w:pPr>
            <w:r>
              <w:rPr>
                <w:color w:val="1F1F1F"/>
              </w:rPr>
              <w:t xml:space="preserve">Dieses Profil steht am Anfang jedes Auftrags an </w:t>
            </w:r>
            <w:proofErr w:type="spellStart"/>
            <w:r>
              <w:rPr>
                <w:color w:val="1F1F1F"/>
              </w:rPr>
              <w:t>ChatGPT</w:t>
            </w:r>
            <w:proofErr w:type="spellEnd"/>
            <w:r>
              <w:rPr>
                <w:color w:val="1F1F1F"/>
              </w:rPr>
              <w:t>, Claude oder Gemini und ersetzt den Baustein „Material: ein Satz zu meiner Praxis“.</w:t>
            </w:r>
          </w:p>
          <w:p w14:paraId="2E776BA6" w14:textId="77777777" w:rsidR="00DC0472" w:rsidRDefault="00000000">
            <w:pPr>
              <w:spacing w:after="40"/>
            </w:pPr>
            <w:r>
              <w:rPr>
                <w:color w:val="1F1F1F"/>
              </w:rPr>
              <w:t>Es enthält keine Patientendaten und keine Namen von Mitarbeitern.</w:t>
            </w:r>
          </w:p>
          <w:p w14:paraId="36697FF8" w14:textId="77777777" w:rsidR="00DC0472" w:rsidRDefault="00000000">
            <w:pPr>
              <w:spacing w:after="40"/>
            </w:pPr>
            <w:r>
              <w:rPr>
                <w:color w:val="1F1F1F"/>
              </w:rPr>
              <w:t>Zwei Varianten zum Vergleich: Profil A (ohne ASV) und Profil B (mit ASV-Teilnahme). Beide unterscheiden sich nur in Abschnitt 1 und 3 – der Rest ist identisch.</w:t>
            </w:r>
          </w:p>
        </w:tc>
      </w:tr>
    </w:tbl>
    <w:p w14:paraId="43FE20A9" w14:textId="77777777" w:rsidR="00DC0472" w:rsidRDefault="00DC0472">
      <w:pPr>
        <w:spacing w:after="80"/>
      </w:pPr>
    </w:p>
    <w:p w14:paraId="0737DD32" w14:textId="77777777" w:rsidR="00DC0472" w:rsidRDefault="00000000">
      <w:pPr>
        <w:pStyle w:val="berschrift2"/>
        <w:pBdr>
          <w:bottom w:val="single" w:sz="6" w:space="0" w:color="2E6B2F"/>
        </w:pBdr>
        <w:spacing w:before="260" w:after="120"/>
      </w:pPr>
      <w:r>
        <w:rPr>
          <w:b/>
          <w:bCs/>
          <w:color w:val="2E6B2F"/>
        </w:rPr>
        <w:t>Praxisprofil A · ohne ASV-Teilnahme</w:t>
      </w:r>
    </w:p>
    <w:p w14:paraId="052D8CED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Unterschied zur Basisvariante: </w:t>
      </w:r>
      <w:r>
        <w:rPr>
          <w:color w:val="1F1F1F"/>
        </w:rPr>
        <w:t>Basisvariante. Dient als Vergleich zur ASV-Variante auf der folgenden Seite.</w:t>
      </w:r>
    </w:p>
    <w:p w14:paraId="3F8417B2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1. Praxis</w:t>
      </w:r>
    </w:p>
    <w:p w14:paraId="498DD8F6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Praxisform, Standort, KV-Bezirk, Versorgungsbereich: </w:t>
      </w:r>
      <w:r>
        <w:rPr>
          <w:color w:val="1F1F1F"/>
        </w:rPr>
        <w:t>Gastroenterologische Gemeinschaftspraxis (BAG), Mittelstadt in Bayern (ca. 70.000 Einwohner, Einzugsgebiet ca. 250.000), KV Bayerns, fachärztlicher Versorgungsbereich Gastroenterologie.</w:t>
      </w:r>
    </w:p>
    <w:p w14:paraId="61C93247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Ermächtigungen, ASV-Teilnahme, Belegbetten: </w:t>
      </w:r>
      <w:r>
        <w:rPr>
          <w:color w:val="1F1F1F"/>
        </w:rPr>
        <w:t>Keine Ermächtigung, keine ASV-Teilnahme, keine Belegbetten.</w:t>
      </w:r>
    </w:p>
    <w:p w14:paraId="7E9AB09F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Kooperationen: </w:t>
      </w:r>
      <w:r>
        <w:rPr>
          <w:color w:val="1F1F1F"/>
        </w:rPr>
        <w:t>Krankenhaus der Grund- und Regelversorgung vor Ort (keine Belegbetten), onkologische Schwerpunktpraxis in der Nachbarstadt, ein Pathologie-Institut.</w:t>
      </w:r>
    </w:p>
    <w:p w14:paraId="0F76B402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2. Ärzte</w:t>
      </w:r>
    </w:p>
    <w:p w14:paraId="57E46819" w14:textId="77777777" w:rsidR="00DC0472" w:rsidRDefault="00000000">
      <w:pPr>
        <w:spacing w:after="120"/>
      </w:pPr>
      <w:r>
        <w:rPr>
          <w:color w:val="1F1F1F"/>
        </w:rPr>
        <w:t>Drei Fachärzte für Innere Medizin und Gastroenterologie (zwei Vollzeit, eine angestellte Ärztin 60 %). Zusatzqualifikationen: Hepatologie, Proktologie, Ernährungsmedizin. Kein Weiterbildungsassistent zurzeit.</w:t>
      </w:r>
    </w:p>
    <w:p w14:paraId="707A69D6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3. Leistungsspektrum</w:t>
      </w:r>
    </w:p>
    <w:p w14:paraId="233B2005" w14:textId="77777777" w:rsidR="00DC0472" w:rsidRDefault="00000000">
      <w:pPr>
        <w:spacing w:after="120"/>
      </w:pPr>
      <w:r>
        <w:rPr>
          <w:b/>
          <w:bCs/>
          <w:color w:val="1F1F1F"/>
        </w:rPr>
        <w:t>Wir machen:</w:t>
      </w:r>
    </w:p>
    <w:p w14:paraId="2E481B3C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 xml:space="preserve">Gastro- und Koloskopie einschließlich Vorsorgekoloskopie, Polypektomie, </w:t>
      </w:r>
      <w:proofErr w:type="spellStart"/>
      <w:r>
        <w:rPr>
          <w:color w:val="1F1F1F"/>
        </w:rPr>
        <w:t>Mukosaresektion</w:t>
      </w:r>
      <w:proofErr w:type="spellEnd"/>
      <w:r>
        <w:rPr>
          <w:color w:val="1F1F1F"/>
        </w:rPr>
        <w:t xml:space="preserve"> bis 2 cm</w:t>
      </w:r>
    </w:p>
    <w:p w14:paraId="1F49A836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Sedierung mit Propofol nach S3-Leitlinie, eigene Aufwachüberwachung</w:t>
      </w:r>
    </w:p>
    <w:p w14:paraId="67C6EA2B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Kapselendoskopie des Dünndarms</w:t>
      </w:r>
    </w:p>
    <w:p w14:paraId="5512698F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 xml:space="preserve">Abdomen-Sonographie einschließlich Kontrastmittelsonographie und </w:t>
      </w:r>
      <w:proofErr w:type="spellStart"/>
      <w:r>
        <w:rPr>
          <w:color w:val="1F1F1F"/>
        </w:rPr>
        <w:t>Elastographie</w:t>
      </w:r>
      <w:proofErr w:type="spellEnd"/>
    </w:p>
    <w:p w14:paraId="3E68690B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H2-Atemtests, 13C-Harnstoff-Atemtest</w:t>
      </w:r>
    </w:p>
    <w:p w14:paraId="46929985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CED-Sprechstunde mit Infusionstherapie (Biologika) in eigenen Infusionsplätzen</w:t>
      </w:r>
    </w:p>
    <w:p w14:paraId="01186AF2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Hepatologische Sprechstunde einschließlich Hepatitis-B- und -C-Therapie</w:t>
      </w:r>
    </w:p>
    <w:p w14:paraId="20CB8169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 xml:space="preserve">Proktologische Basisdiagnostik, </w:t>
      </w:r>
      <w:proofErr w:type="spellStart"/>
      <w:r>
        <w:rPr>
          <w:color w:val="1F1F1F"/>
        </w:rPr>
        <w:t>Hämorrhoidenbehandlung</w:t>
      </w:r>
      <w:proofErr w:type="spellEnd"/>
    </w:p>
    <w:p w14:paraId="3A30552A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Ernährungsberatung durch eine Diätassistentin an zwei Tagen pro Woche</w:t>
      </w:r>
    </w:p>
    <w:p w14:paraId="6B3FFE31" w14:textId="77777777" w:rsidR="00DC0472" w:rsidRDefault="00000000">
      <w:pPr>
        <w:spacing w:before="100" w:after="120"/>
      </w:pPr>
      <w:r>
        <w:rPr>
          <w:b/>
          <w:bCs/>
          <w:color w:val="1F1F1F"/>
        </w:rPr>
        <w:t>Wir machen nicht:</w:t>
      </w:r>
    </w:p>
    <w:p w14:paraId="11077C5D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ERCP, Endosonographie, Manometrie, pH-</w:t>
      </w:r>
      <w:proofErr w:type="spellStart"/>
      <w:r>
        <w:rPr>
          <w:color w:val="1F1F1F"/>
        </w:rPr>
        <w:t>Metrie</w:t>
      </w:r>
      <w:proofErr w:type="spellEnd"/>
      <w:r>
        <w:rPr>
          <w:color w:val="1F1F1F"/>
        </w:rPr>
        <w:t xml:space="preserve"> (Überweisung an das Klinikum der Maximalversorgung, 45 km)</w:t>
      </w:r>
    </w:p>
    <w:p w14:paraId="673AB840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Onkologische Systemtherapie (Kooperation mit der onkologischen Schwerpunktpraxis)</w:t>
      </w:r>
    </w:p>
    <w:p w14:paraId="52BB5F7E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Kinder und Jugendliche unter 16 Jahren</w:t>
      </w:r>
    </w:p>
    <w:p w14:paraId="794B425B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Hausbesuche</w:t>
      </w:r>
    </w:p>
    <w:p w14:paraId="573D983D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Stationäre Behandlung, keine Belegbetten</w:t>
      </w:r>
    </w:p>
    <w:p w14:paraId="71064DAD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Klinische Studien</w:t>
      </w:r>
    </w:p>
    <w:p w14:paraId="0FCFF1C7" w14:textId="77777777" w:rsidR="00F13420" w:rsidRDefault="00F13420">
      <w:pPr>
        <w:spacing w:before="160" w:after="60"/>
        <w:rPr>
          <w:b/>
          <w:bCs/>
          <w:color w:val="1F1F1F"/>
          <w:sz w:val="21"/>
          <w:szCs w:val="21"/>
        </w:rPr>
      </w:pPr>
    </w:p>
    <w:p w14:paraId="0835799D" w14:textId="77777777" w:rsidR="00F13420" w:rsidRDefault="00F13420">
      <w:pPr>
        <w:spacing w:before="160" w:after="60"/>
        <w:rPr>
          <w:b/>
          <w:bCs/>
          <w:color w:val="1F1F1F"/>
          <w:sz w:val="21"/>
          <w:szCs w:val="21"/>
        </w:rPr>
      </w:pPr>
    </w:p>
    <w:p w14:paraId="19DEC6CF" w14:textId="377B1731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lastRenderedPageBreak/>
        <w:t>4. Organisation</w:t>
      </w:r>
    </w:p>
    <w:p w14:paraId="127DA87A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Team, Öffnungszeiten, Terminvergabe: </w:t>
      </w:r>
      <w:r>
        <w:rPr>
          <w:color w:val="1F1F1F"/>
        </w:rPr>
        <w:t>Neun MFA (davon drei mit Endoskopie-Fachweiterbildung), eine Praxismanagerin, eine Diätassistentin, eine Auszubildende. Mo–Fr 7:30–17:00 Uhr, Mi und Fr nachmittags nur Endoskopie. Online-Terminbuchung für Erstvorstellung und Vorsorgekoloskopie, sonst Telefon.</w:t>
      </w:r>
    </w:p>
    <w:p w14:paraId="79B5096A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Vorbereitungsschema, Aufklärung, Sprachen: </w:t>
      </w:r>
      <w:r>
        <w:rPr>
          <w:color w:val="1F1F1F"/>
        </w:rPr>
        <w:t>Split-</w:t>
      </w:r>
      <w:proofErr w:type="spellStart"/>
      <w:r>
        <w:rPr>
          <w:color w:val="1F1F1F"/>
        </w:rPr>
        <w:t>Dosing</w:t>
      </w:r>
      <w:proofErr w:type="spellEnd"/>
      <w:r>
        <w:rPr>
          <w:color w:val="1F1F1F"/>
        </w:rPr>
        <w:t xml:space="preserve"> mit PEG-Lösung, Aufklärung mindestens sieben Tage vor der Untersuchung, schriftliche Patienteninformation in Deutsch, Englisch und Türkisch.</w:t>
      </w:r>
    </w:p>
    <w:p w14:paraId="31371115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Software, Briefversand, QM: </w:t>
      </w:r>
      <w:r>
        <w:rPr>
          <w:color w:val="1F1F1F"/>
        </w:rPr>
        <w:t xml:space="preserve">Praxissoftware mit Arztbrief-Textbausteinen, </w:t>
      </w:r>
      <w:proofErr w:type="spellStart"/>
      <w:r>
        <w:rPr>
          <w:color w:val="1F1F1F"/>
        </w:rPr>
        <w:t>eArztbrief</w:t>
      </w:r>
      <w:proofErr w:type="spellEnd"/>
      <w:r>
        <w:rPr>
          <w:color w:val="1F1F1F"/>
        </w:rPr>
        <w:t xml:space="preserve"> oder Fax an Zuweiser, QM nach QEP, Hygieneaufbereitung mit validierten RDG-E.</w:t>
      </w:r>
    </w:p>
    <w:p w14:paraId="289729EC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5. Empfänger unserer Texte</w:t>
      </w:r>
    </w:p>
    <w:p w14:paraId="4A300DAA" w14:textId="77777777" w:rsidR="00DC0472" w:rsidRDefault="00000000">
      <w:pPr>
        <w:spacing w:after="120"/>
      </w:pPr>
      <w:r>
        <w:rPr>
          <w:color w:val="1F1F1F"/>
        </w:rPr>
        <w:t xml:space="preserve">Hausärzte im Einzugsgebiet (ca. 60 Praxen, </w:t>
      </w:r>
      <w:proofErr w:type="spellStart"/>
      <w:r>
        <w:rPr>
          <w:color w:val="1F1F1F"/>
        </w:rPr>
        <w:t>Hauptzuweiser</w:t>
      </w:r>
      <w:proofErr w:type="spellEnd"/>
      <w:r>
        <w:rPr>
          <w:color w:val="1F1F1F"/>
        </w:rPr>
        <w:t>), fachärztliche Zuweiser (Chirurgie, Gynäkologie, Onkologie), Patienten überwiegend 50+, Krankenkassen, KV Bayerns, MD, eigenes Team.</w:t>
      </w:r>
    </w:p>
    <w:p w14:paraId="3088FED0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6. Sprachregeln</w:t>
      </w:r>
    </w:p>
    <w:p w14:paraId="12A4330E" w14:textId="77777777" w:rsidR="00DC0472" w:rsidRDefault="00000000">
      <w:pPr>
        <w:spacing w:after="120"/>
      </w:pPr>
      <w:r>
        <w:rPr>
          <w:color w:val="1F1F1F"/>
        </w:rPr>
        <w:t>Sie-Form, kein Gendern, keine Anglizismen, wenn ein deutsches Wort vorhanden ist. Arztbriefe: sachlich, knapp, Befund vor Bewertung. Patiententexte: kurze Sätze, keine Fachbegriffe ohne Erklärung, Anweisungen mit Tag und Uhrzeit. Team: nummeriert, eine Anweisung pro Zeile. Bevorzugte Formate: Tabelle bei Vergleichen, nummerierte Liste bei Abläufen, Fließtext für Briefe.</w:t>
      </w:r>
    </w:p>
    <w:p w14:paraId="40474A1F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7. Dauergrenzen für jeden Auftrag</w:t>
      </w:r>
    </w:p>
    <w:p w14:paraId="09F35D48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Erfinde nichts. Wenn eine Angabe fehlt, schreib „nicht enthalten“ oder frag nach.</w:t>
      </w:r>
    </w:p>
    <w:p w14:paraId="584E5AB6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Ändere keine medizinischen Inhalte: Dosierungen, Intervalle, Medikamente, Indikationen. Markiere sie mit [PRÜFEN], wenn sie unklar oder widersprüchlich erscheinen.</w:t>
      </w:r>
    </w:p>
    <w:p w14:paraId="50FAE3DD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Nenne Fristen, Beträge und Inkrafttreten nur, wenn sie im vorgelegten Text stehen.</w:t>
      </w:r>
    </w:p>
    <w:p w14:paraId="440476C4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Verweise bei Rechts- oder Abrechnungsfragen auf KV, Berufsverband oder Rechtsberatung.</w:t>
      </w:r>
    </w:p>
    <w:p w14:paraId="7A4D231A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Frag nach, statt zu raten, wenn Kontext fehlt.</w:t>
      </w:r>
    </w:p>
    <w:p w14:paraId="7C489DD8" w14:textId="77777777" w:rsidR="00DC0472" w:rsidRDefault="00000000">
      <w:r>
        <w:br w:type="page"/>
      </w:r>
    </w:p>
    <w:p w14:paraId="08DC5BFC" w14:textId="77777777" w:rsidR="00DC0472" w:rsidRDefault="00000000">
      <w:pPr>
        <w:pStyle w:val="berschrift2"/>
        <w:pBdr>
          <w:bottom w:val="single" w:sz="6" w:space="0" w:color="2E6B2F"/>
        </w:pBdr>
        <w:spacing w:before="260" w:after="120"/>
      </w:pPr>
      <w:r>
        <w:rPr>
          <w:b/>
          <w:bCs/>
          <w:color w:val="2E6B2F"/>
        </w:rPr>
        <w:lastRenderedPageBreak/>
        <w:t>Praxisprofil B · mit ASV-Teilnahme (gastrointestinale Tumoren)</w:t>
      </w:r>
    </w:p>
    <w:p w14:paraId="08C19769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Unterschied zur Basisvariante: </w:t>
      </w:r>
      <w:r>
        <w:rPr>
          <w:color w:val="1F1F1F"/>
        </w:rPr>
        <w:t>Nur Abschnitt 1 und 3 geändert gegenüber Profil A. Alles Übrige (Ärzte, Organisation, Sprache, Grenzen) bleibt identisch – das zeigt, wie wenig sich am Profil ändern muss.</w:t>
      </w:r>
    </w:p>
    <w:p w14:paraId="05DA47DA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1. Praxis</w:t>
      </w:r>
    </w:p>
    <w:p w14:paraId="22032C39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Praxisform, Standort, KV-Bezirk, Versorgungsbereich: </w:t>
      </w:r>
      <w:r>
        <w:rPr>
          <w:color w:val="1F1F1F"/>
        </w:rPr>
        <w:t>Gastroenterologische Gemeinschaftspraxis (BAG), Mittelstadt in Bayern (ca. 70.000 Einwohner, Einzugsgebiet ca. 250.000), KV Bayerns, fachärztlicher Versorgungsbereich Gastroenterologie.</w:t>
      </w:r>
    </w:p>
    <w:p w14:paraId="6EC438C2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Ermächtigungen, ASV-Teilnahme, Belegbetten: </w:t>
      </w:r>
      <w:r>
        <w:rPr>
          <w:color w:val="1F1F1F"/>
        </w:rPr>
        <w:t>Kernteam-Mitglied im ASV-Team „Gastrointestinale Tumoren“ nach § 116b SGB V, gemeinsam mit hinzuzuziehenden Fachärzten für internistische Onkologie, Strahlentherapie und Viszeralchirurgie (externe Kooperation). Keine eigenen Belegbetten.</w:t>
      </w:r>
    </w:p>
    <w:p w14:paraId="78C25133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Kooperationen: </w:t>
      </w:r>
      <w:r>
        <w:rPr>
          <w:color w:val="1F1F1F"/>
        </w:rPr>
        <w:t>Wie Profil A, zusätzlich: ASV-Team gastrointestinale Tumoren mit Tumorboard-Teilnahme (14-täglich, Klinikum der Maximalversorgung).</w:t>
      </w:r>
    </w:p>
    <w:p w14:paraId="51B212EE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2. Ärzte</w:t>
      </w:r>
    </w:p>
    <w:p w14:paraId="378D029D" w14:textId="77777777" w:rsidR="00DC0472" w:rsidRDefault="00000000">
      <w:pPr>
        <w:spacing w:after="120"/>
      </w:pPr>
      <w:r>
        <w:rPr>
          <w:color w:val="1F1F1F"/>
        </w:rPr>
        <w:t>Drei Fachärzte für Innere Medizin und Gastroenterologie (zwei Vollzeit, eine angestellte Ärztin 60 %). Zusatzqualifikationen: Hepatologie, Proktologie, Ernährungsmedizin. Kein Weiterbildungsassistent zurzeit.</w:t>
      </w:r>
    </w:p>
    <w:p w14:paraId="37AA05D2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3. Leistungsspektrum</w:t>
      </w:r>
    </w:p>
    <w:p w14:paraId="10AE1964" w14:textId="77777777" w:rsidR="00DC0472" w:rsidRDefault="00000000">
      <w:pPr>
        <w:spacing w:after="120"/>
      </w:pPr>
      <w:r>
        <w:rPr>
          <w:b/>
          <w:bCs/>
          <w:color w:val="1F1F1F"/>
        </w:rPr>
        <w:t>Wir machen:</w:t>
      </w:r>
    </w:p>
    <w:p w14:paraId="0210CB7A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 xml:space="preserve">Gastro- und Koloskopie einschließlich Vorsorgekoloskopie, Polypektomie, </w:t>
      </w:r>
      <w:proofErr w:type="spellStart"/>
      <w:r>
        <w:rPr>
          <w:color w:val="1F1F1F"/>
        </w:rPr>
        <w:t>Mukosaresektion</w:t>
      </w:r>
      <w:proofErr w:type="spellEnd"/>
      <w:r>
        <w:rPr>
          <w:color w:val="1F1F1F"/>
        </w:rPr>
        <w:t xml:space="preserve"> bis 2 cm</w:t>
      </w:r>
    </w:p>
    <w:p w14:paraId="595AB8FF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Sedierung mit Propofol nach S3-Leitlinie, eigene Aufwachüberwachung</w:t>
      </w:r>
    </w:p>
    <w:p w14:paraId="0877F8E4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Kapselendoskopie des Dünndarms</w:t>
      </w:r>
    </w:p>
    <w:p w14:paraId="7D93FCAB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 xml:space="preserve">Abdomen-Sonographie einschließlich Kontrastmittelsonographie und </w:t>
      </w:r>
      <w:proofErr w:type="spellStart"/>
      <w:r>
        <w:rPr>
          <w:color w:val="1F1F1F"/>
        </w:rPr>
        <w:t>Elastographie</w:t>
      </w:r>
      <w:proofErr w:type="spellEnd"/>
    </w:p>
    <w:p w14:paraId="31513504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H2-Atemtests, 13C-Harnstoff-Atemtest</w:t>
      </w:r>
    </w:p>
    <w:p w14:paraId="136BAEE6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CED-Sprechstunde mit Infusionstherapie (Biologika) in eigenen Infusionsplätzen</w:t>
      </w:r>
    </w:p>
    <w:p w14:paraId="25217C3B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Hepatologische Sprechstunde einschließlich Hepatitis-B- und -C-Therapie</w:t>
      </w:r>
    </w:p>
    <w:p w14:paraId="10A7B2A3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 xml:space="preserve">Proktologische Basisdiagnostik, </w:t>
      </w:r>
      <w:proofErr w:type="spellStart"/>
      <w:r>
        <w:rPr>
          <w:color w:val="1F1F1F"/>
        </w:rPr>
        <w:t>Hämorrhoidenbehandlung</w:t>
      </w:r>
      <w:proofErr w:type="spellEnd"/>
    </w:p>
    <w:p w14:paraId="0C7CCA78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Ernährungsberatung durch eine Diätassistentin an zwei Tagen pro Woche</w:t>
      </w:r>
    </w:p>
    <w:p w14:paraId="2A701A5D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ASV-Diagnostik und Verlaufskontrolle bei gastrointestinalen Tumoren im Kernteam, Teilnahme am Tumorboard, Koordination der interdisziplinären Behandlung</w:t>
      </w:r>
    </w:p>
    <w:p w14:paraId="29B0212D" w14:textId="77777777" w:rsidR="00DC0472" w:rsidRDefault="00000000">
      <w:pPr>
        <w:spacing w:before="100" w:after="120"/>
      </w:pPr>
      <w:r>
        <w:rPr>
          <w:b/>
          <w:bCs/>
          <w:color w:val="1F1F1F"/>
        </w:rPr>
        <w:t>Wir machen nicht:</w:t>
      </w:r>
    </w:p>
    <w:p w14:paraId="64F58872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ERCP, Endosonographie, Manometrie, pH-</w:t>
      </w:r>
      <w:proofErr w:type="spellStart"/>
      <w:r>
        <w:rPr>
          <w:color w:val="1F1F1F"/>
        </w:rPr>
        <w:t>Metrie</w:t>
      </w:r>
      <w:proofErr w:type="spellEnd"/>
      <w:r>
        <w:rPr>
          <w:color w:val="1F1F1F"/>
        </w:rPr>
        <w:t xml:space="preserve"> (Überweisung an das Klinikum der Maximalversorgung, 45 km)</w:t>
      </w:r>
    </w:p>
    <w:p w14:paraId="3A807A18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Kinder und Jugendliche unter 16 Jahren</w:t>
      </w:r>
    </w:p>
    <w:p w14:paraId="6DD8CE25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Hausbesuche</w:t>
      </w:r>
    </w:p>
    <w:p w14:paraId="31696312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Stationäre Behandlung, keine Belegbetten</w:t>
      </w:r>
    </w:p>
    <w:p w14:paraId="330A664F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Klinische Studien</w:t>
      </w:r>
    </w:p>
    <w:p w14:paraId="3103A417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Applikation der onkologischen Systemtherapie (erfolgt beim hinzugezogenen Facharzt für internistische Onkologie im ASV-Team)</w:t>
      </w:r>
    </w:p>
    <w:p w14:paraId="73BAD374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4. Organisation</w:t>
      </w:r>
    </w:p>
    <w:p w14:paraId="614F05D2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Team, Öffnungszeiten, Terminvergabe: </w:t>
      </w:r>
      <w:r>
        <w:rPr>
          <w:color w:val="1F1F1F"/>
        </w:rPr>
        <w:t>Neun MFA (davon drei mit Endoskopie-Fachweiterbildung), eine Praxismanagerin, eine Diätassistentin, eine Auszubildende. Mo–Fr 7:30–17:00 Uhr, Mi und Fr nachmittags nur Endoskopie. Online-Terminbuchung für Erstvorstellung und Vorsorgekoloskopie, sonst Telefon.</w:t>
      </w:r>
    </w:p>
    <w:p w14:paraId="2F9F2CB8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Vorbereitungsschema, Aufklärung, Sprachen: </w:t>
      </w:r>
      <w:r>
        <w:rPr>
          <w:color w:val="1F1F1F"/>
        </w:rPr>
        <w:t>Split-</w:t>
      </w:r>
      <w:proofErr w:type="spellStart"/>
      <w:r>
        <w:rPr>
          <w:color w:val="1F1F1F"/>
        </w:rPr>
        <w:t>Dosing</w:t>
      </w:r>
      <w:proofErr w:type="spellEnd"/>
      <w:r>
        <w:rPr>
          <w:color w:val="1F1F1F"/>
        </w:rPr>
        <w:t xml:space="preserve"> mit PEG-Lösung, Aufklärung mindestens sieben Tage vor der Untersuchung, schriftliche Patienteninformation in Deutsch, Englisch und Türkisch.</w:t>
      </w:r>
    </w:p>
    <w:p w14:paraId="08836A1C" w14:textId="77777777" w:rsidR="00DC0472" w:rsidRDefault="00000000">
      <w:pPr>
        <w:spacing w:after="120"/>
      </w:pPr>
      <w:r>
        <w:rPr>
          <w:b/>
          <w:bCs/>
          <w:color w:val="1F1F1F"/>
        </w:rPr>
        <w:t xml:space="preserve">Software, Briefversand, QM: </w:t>
      </w:r>
      <w:r>
        <w:rPr>
          <w:color w:val="1F1F1F"/>
        </w:rPr>
        <w:t xml:space="preserve">Praxissoftware mit Arztbrief-Textbausteinen, </w:t>
      </w:r>
      <w:proofErr w:type="spellStart"/>
      <w:r>
        <w:rPr>
          <w:color w:val="1F1F1F"/>
        </w:rPr>
        <w:t>eArztbrief</w:t>
      </w:r>
      <w:proofErr w:type="spellEnd"/>
      <w:r>
        <w:rPr>
          <w:color w:val="1F1F1F"/>
        </w:rPr>
        <w:t xml:space="preserve"> oder Fax an Zuweiser, QM nach QEP, Hygieneaufbereitung mit validierten RDG-E.</w:t>
      </w:r>
    </w:p>
    <w:p w14:paraId="348A70CA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5. Empfänger unserer Texte</w:t>
      </w:r>
    </w:p>
    <w:p w14:paraId="3E15CD33" w14:textId="77777777" w:rsidR="00DC0472" w:rsidRDefault="00000000">
      <w:pPr>
        <w:spacing w:after="120"/>
      </w:pPr>
      <w:r>
        <w:rPr>
          <w:color w:val="1F1F1F"/>
        </w:rPr>
        <w:t xml:space="preserve">Hausärzte im Einzugsgebiet (ca. 60 Praxen, </w:t>
      </w:r>
      <w:proofErr w:type="spellStart"/>
      <w:r>
        <w:rPr>
          <w:color w:val="1F1F1F"/>
        </w:rPr>
        <w:t>Hauptzuweiser</w:t>
      </w:r>
      <w:proofErr w:type="spellEnd"/>
      <w:r>
        <w:rPr>
          <w:color w:val="1F1F1F"/>
        </w:rPr>
        <w:t>), fachärztliche Zuweiser (Chirurgie, Gynäkologie, Onkologie), Patienten überwiegend 50+, Krankenkassen, KV Bayerns, MD, eigenes Team.</w:t>
      </w:r>
    </w:p>
    <w:p w14:paraId="0933FD6A" w14:textId="77777777" w:rsidR="00F13420" w:rsidRDefault="00F13420">
      <w:pPr>
        <w:spacing w:before="160" w:after="60"/>
        <w:rPr>
          <w:b/>
          <w:bCs/>
          <w:color w:val="1F1F1F"/>
          <w:sz w:val="21"/>
          <w:szCs w:val="21"/>
        </w:rPr>
      </w:pPr>
    </w:p>
    <w:p w14:paraId="656DF2DE" w14:textId="0687221A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lastRenderedPageBreak/>
        <w:t>6. Sprachregeln</w:t>
      </w:r>
    </w:p>
    <w:p w14:paraId="460B2A94" w14:textId="77777777" w:rsidR="00DC0472" w:rsidRDefault="00000000">
      <w:pPr>
        <w:spacing w:after="120"/>
      </w:pPr>
      <w:r>
        <w:rPr>
          <w:color w:val="1F1F1F"/>
        </w:rPr>
        <w:t>Sie-Form, kein Gendern, keine Anglizismen, wenn ein deutsches Wort vorhanden ist. Arztbriefe: sachlich, knapp, Befund vor Bewertung. Patiententexte: kurze Sätze, keine Fachbegriffe ohne Erklärung, Anweisungen mit Tag und Uhrzeit. Team: nummeriert, eine Anweisung pro Zeile. Bevorzugte Formate: Tabelle bei Vergleichen, nummerierte Liste bei Abläufen, Fließtext für Briefe.</w:t>
      </w:r>
    </w:p>
    <w:p w14:paraId="356D5A3D" w14:textId="77777777" w:rsidR="00DC0472" w:rsidRDefault="00000000">
      <w:pPr>
        <w:spacing w:before="160" w:after="60"/>
      </w:pPr>
      <w:r>
        <w:rPr>
          <w:b/>
          <w:bCs/>
          <w:color w:val="1F1F1F"/>
          <w:sz w:val="21"/>
          <w:szCs w:val="21"/>
        </w:rPr>
        <w:t>7. Dauergrenzen für jeden Auftrag</w:t>
      </w:r>
    </w:p>
    <w:p w14:paraId="3F2BB445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Erfinde nichts. Wenn eine Angabe fehlt, schreib „nicht enthalten“ oder frag nach.</w:t>
      </w:r>
    </w:p>
    <w:p w14:paraId="0AAF9A4E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Ändere keine medizinischen Inhalte: Dosierungen, Intervalle, Medikamente, Indikationen. Markiere sie mit [PRÜFEN], wenn sie unklar oder widersprüchlich erscheinen.</w:t>
      </w:r>
    </w:p>
    <w:p w14:paraId="0DBF50A5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Nenne Fristen, Beträge und Inkrafttreten nur, wenn sie im vorgelegten Text stehen.</w:t>
      </w:r>
    </w:p>
    <w:p w14:paraId="7F858727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Verweise bei Rechts- oder Abrechnungsfragen auf KV, Berufsverband oder Rechtsberatung.</w:t>
      </w:r>
    </w:p>
    <w:p w14:paraId="409EF2BB" w14:textId="77777777" w:rsidR="00DC0472" w:rsidRDefault="00000000">
      <w:pPr>
        <w:pStyle w:val="Listenabsatz"/>
        <w:numPr>
          <w:ilvl w:val="0"/>
          <w:numId w:val="1"/>
        </w:numPr>
        <w:spacing w:after="80"/>
      </w:pPr>
      <w:r>
        <w:rPr>
          <w:color w:val="1F1F1F"/>
        </w:rPr>
        <w:t>Frag nach, statt zu raten, wenn Kontext fehlt.</w:t>
      </w:r>
    </w:p>
    <w:sectPr w:rsidR="00DC0472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8627C"/>
    <w:multiLevelType w:val="hybridMultilevel"/>
    <w:tmpl w:val="D6F29B02"/>
    <w:lvl w:ilvl="0" w:tplc="00646A5A">
      <w:start w:val="1"/>
      <w:numFmt w:val="bullet"/>
      <w:lvlText w:val="●"/>
      <w:lvlJc w:val="left"/>
      <w:pPr>
        <w:ind w:left="720" w:hanging="360"/>
      </w:pPr>
    </w:lvl>
    <w:lvl w:ilvl="1" w:tplc="8EC24182">
      <w:start w:val="1"/>
      <w:numFmt w:val="bullet"/>
      <w:lvlText w:val="○"/>
      <w:lvlJc w:val="left"/>
      <w:pPr>
        <w:ind w:left="1440" w:hanging="360"/>
      </w:pPr>
    </w:lvl>
    <w:lvl w:ilvl="2" w:tplc="A348AE04">
      <w:start w:val="1"/>
      <w:numFmt w:val="bullet"/>
      <w:lvlText w:val="■"/>
      <w:lvlJc w:val="left"/>
      <w:pPr>
        <w:ind w:left="2160" w:hanging="360"/>
      </w:pPr>
    </w:lvl>
    <w:lvl w:ilvl="3" w:tplc="3CA84D52">
      <w:start w:val="1"/>
      <w:numFmt w:val="bullet"/>
      <w:lvlText w:val="●"/>
      <w:lvlJc w:val="left"/>
      <w:pPr>
        <w:ind w:left="2880" w:hanging="360"/>
      </w:pPr>
    </w:lvl>
    <w:lvl w:ilvl="4" w:tplc="9E62A3CE">
      <w:start w:val="1"/>
      <w:numFmt w:val="bullet"/>
      <w:lvlText w:val="○"/>
      <w:lvlJc w:val="left"/>
      <w:pPr>
        <w:ind w:left="3600" w:hanging="360"/>
      </w:pPr>
    </w:lvl>
    <w:lvl w:ilvl="5" w:tplc="B1EA1246">
      <w:start w:val="1"/>
      <w:numFmt w:val="bullet"/>
      <w:lvlText w:val="■"/>
      <w:lvlJc w:val="left"/>
      <w:pPr>
        <w:ind w:left="4320" w:hanging="360"/>
      </w:pPr>
    </w:lvl>
    <w:lvl w:ilvl="6" w:tplc="7F569544">
      <w:start w:val="1"/>
      <w:numFmt w:val="bullet"/>
      <w:lvlText w:val="●"/>
      <w:lvlJc w:val="left"/>
      <w:pPr>
        <w:ind w:left="5040" w:hanging="360"/>
      </w:pPr>
    </w:lvl>
    <w:lvl w:ilvl="7" w:tplc="C57A4E76">
      <w:start w:val="1"/>
      <w:numFmt w:val="bullet"/>
      <w:lvlText w:val="●"/>
      <w:lvlJc w:val="left"/>
      <w:pPr>
        <w:ind w:left="5760" w:hanging="360"/>
      </w:pPr>
    </w:lvl>
    <w:lvl w:ilvl="8" w:tplc="96140A36">
      <w:start w:val="1"/>
      <w:numFmt w:val="bullet"/>
      <w:lvlText w:val="●"/>
      <w:lvlJc w:val="left"/>
      <w:pPr>
        <w:ind w:left="6480" w:hanging="360"/>
      </w:pPr>
    </w:lvl>
  </w:abstractNum>
  <w:num w:numId="1" w16cid:durableId="19550193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472"/>
    <w:rsid w:val="005C49D3"/>
    <w:rsid w:val="00637E3D"/>
    <w:rsid w:val="00DC0472"/>
    <w:rsid w:val="00F1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31E06"/>
  <w15:docId w15:val="{0F92C8F9-6D0D-436D-9161-20385E9D0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D7262E3B-3E1D-47B3-802C-B4BC55D2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1124</Words>
  <Characters>7084</Characters>
  <Application>Microsoft Office Word</Application>
  <DocSecurity>0</DocSecurity>
  <Lines>59</Lines>
  <Paragraphs>16</Paragraphs>
  <ScaleCrop>false</ScaleCrop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Andreas Kamp</cp:lastModifiedBy>
  <cp:revision>3</cp:revision>
  <dcterms:created xsi:type="dcterms:W3CDTF">2026-09-10T11:51:00Z</dcterms:created>
  <dcterms:modified xsi:type="dcterms:W3CDTF">2026-09-10T12:15:00Z</dcterms:modified>
</cp:coreProperties>
</file>